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7B" w:rsidRDefault="003D247B" w:rsidP="00024219">
      <w:pPr>
        <w:spacing w:after="0" w:line="240" w:lineRule="exact"/>
        <w:jc w:val="center"/>
        <w:rPr>
          <w:rFonts w:ascii="Times New Roman" w:eastAsia="Tahoma" w:hAnsi="Times New Roman" w:cs="Times New Roman"/>
          <w:color w:val="000000"/>
          <w:sz w:val="28"/>
          <w:szCs w:val="28"/>
          <w:lang w:eastAsia="ru-RU"/>
        </w:rPr>
      </w:pPr>
    </w:p>
    <w:p w:rsidR="00024219" w:rsidRPr="003D247B" w:rsidRDefault="00024219" w:rsidP="00024219">
      <w:pPr>
        <w:spacing w:after="0" w:line="240" w:lineRule="exact"/>
        <w:jc w:val="center"/>
        <w:rPr>
          <w:rFonts w:ascii="Times New Roman" w:eastAsia="Tahoma" w:hAnsi="Times New Roman" w:cs="Times New Roman"/>
          <w:color w:val="000000"/>
          <w:sz w:val="28"/>
          <w:szCs w:val="28"/>
          <w:lang w:eastAsia="ru-RU"/>
        </w:rPr>
      </w:pPr>
      <w:r w:rsidRPr="003D247B">
        <w:rPr>
          <w:rFonts w:ascii="Times New Roman" w:eastAsia="Tahoma" w:hAnsi="Times New Roman" w:cs="Times New Roman"/>
          <w:color w:val="000000"/>
          <w:sz w:val="28"/>
          <w:szCs w:val="28"/>
          <w:lang w:eastAsia="ru-RU"/>
        </w:rPr>
        <w:t>Заключение</w:t>
      </w:r>
    </w:p>
    <w:p w:rsidR="00024219" w:rsidRPr="003D247B" w:rsidRDefault="00024219" w:rsidP="00024219">
      <w:pPr>
        <w:spacing w:after="0" w:line="240" w:lineRule="exact"/>
        <w:jc w:val="center"/>
        <w:rPr>
          <w:rFonts w:ascii="Times New Roman" w:eastAsia="Tahoma" w:hAnsi="Times New Roman" w:cs="Times New Roman"/>
          <w:color w:val="000000"/>
          <w:sz w:val="28"/>
          <w:szCs w:val="28"/>
          <w:lang w:eastAsia="ru-RU"/>
        </w:rPr>
      </w:pPr>
      <w:r w:rsidRPr="003D247B">
        <w:rPr>
          <w:rFonts w:ascii="Times New Roman" w:eastAsia="Tahoma" w:hAnsi="Times New Roman" w:cs="Times New Roman"/>
          <w:color w:val="000000"/>
          <w:sz w:val="28"/>
          <w:szCs w:val="28"/>
          <w:lang w:eastAsia="ru-RU"/>
        </w:rPr>
        <w:t>о возможности (невозможности) принятия решения</w:t>
      </w:r>
    </w:p>
    <w:p w:rsidR="00E2413D" w:rsidRPr="003D247B" w:rsidRDefault="00024219" w:rsidP="003D247B">
      <w:pPr>
        <w:spacing w:after="0" w:line="240" w:lineRule="exact"/>
        <w:jc w:val="center"/>
        <w:rPr>
          <w:rFonts w:ascii="Times New Roman" w:eastAsia="Tahoma" w:hAnsi="Times New Roman" w:cs="Times New Roman"/>
          <w:color w:val="000000"/>
          <w:sz w:val="28"/>
          <w:szCs w:val="28"/>
          <w:lang w:eastAsia="ru-RU"/>
        </w:rPr>
      </w:pPr>
      <w:r w:rsidRPr="003D247B">
        <w:rPr>
          <w:rFonts w:ascii="Times New Roman" w:eastAsia="Tahoma" w:hAnsi="Times New Roman" w:cs="Times New Roman"/>
          <w:color w:val="000000"/>
          <w:sz w:val="28"/>
          <w:szCs w:val="28"/>
          <w:lang w:eastAsia="ru-RU"/>
        </w:rPr>
        <w:t xml:space="preserve">о заключении </w:t>
      </w:r>
      <w:r w:rsidR="003D247B">
        <w:rPr>
          <w:rFonts w:ascii="Times New Roman" w:eastAsia="Tahoma" w:hAnsi="Times New Roman" w:cs="Times New Roman"/>
          <w:color w:val="000000"/>
          <w:sz w:val="28"/>
          <w:szCs w:val="28"/>
          <w:lang w:eastAsia="ru-RU"/>
        </w:rPr>
        <w:t>краевым государственным бюджетным профессиональным образовательным учреждением</w:t>
      </w:r>
      <w:r w:rsidR="003D247B" w:rsidRPr="003D247B">
        <w:rPr>
          <w:rFonts w:ascii="Times New Roman" w:eastAsia="Tahoma" w:hAnsi="Times New Roman" w:cs="Times New Roman"/>
          <w:color w:val="000000"/>
          <w:sz w:val="28"/>
          <w:szCs w:val="28"/>
          <w:lang w:eastAsia="ru-RU"/>
        </w:rPr>
        <w:t xml:space="preserve"> </w:t>
      </w:r>
      <w:r w:rsidR="00B24E73" w:rsidRPr="003D247B">
        <w:rPr>
          <w:rFonts w:ascii="Times New Roman" w:eastAsia="Tahoma" w:hAnsi="Times New Roman" w:cs="Times New Roman"/>
          <w:color w:val="000000"/>
          <w:sz w:val="28"/>
          <w:szCs w:val="28"/>
          <w:lang w:eastAsia="ru-RU"/>
        </w:rPr>
        <w:t>«Хабаровский автомеханический колледж»</w:t>
      </w:r>
      <w:r w:rsidR="00E2413D" w:rsidRPr="003D247B">
        <w:rPr>
          <w:rFonts w:ascii="Times New Roman" w:eastAsia="Tahoma" w:hAnsi="Times New Roman" w:cs="Times New Roman"/>
          <w:color w:val="000000"/>
          <w:sz w:val="28"/>
          <w:szCs w:val="28"/>
          <w:lang w:eastAsia="ru-RU"/>
        </w:rPr>
        <w:t xml:space="preserve"> </w:t>
      </w:r>
      <w:r w:rsidRPr="003D247B">
        <w:rPr>
          <w:rFonts w:ascii="Times New Roman" w:eastAsia="Tahoma" w:hAnsi="Times New Roman" w:cs="Times New Roman"/>
          <w:color w:val="000000"/>
          <w:sz w:val="28"/>
          <w:szCs w:val="28"/>
          <w:lang w:eastAsia="ru-RU"/>
        </w:rPr>
        <w:t>договора о передаче в аренду недвижимого имущества</w:t>
      </w:r>
      <w:r w:rsidRPr="003D247B">
        <w:rPr>
          <w:rFonts w:ascii="Times New Roman" w:eastAsia="Tahoma" w:hAnsi="Times New Roman" w:cs="Times New Roman"/>
          <w:color w:val="000000" w:themeColor="text1"/>
          <w:sz w:val="28"/>
          <w:szCs w:val="28"/>
          <w:lang w:eastAsia="ru-RU"/>
        </w:rPr>
        <w:t>, закрепленного на праве оперативного управления и расположенного по адресу:</w:t>
      </w:r>
    </w:p>
    <w:p w:rsidR="00770C20" w:rsidRPr="00770C20" w:rsidRDefault="00770C20" w:rsidP="00770C20">
      <w:pPr>
        <w:spacing w:after="0" w:line="240" w:lineRule="exact"/>
        <w:jc w:val="center"/>
        <w:rPr>
          <w:rFonts w:ascii="Times New Roman" w:eastAsia="Tahoma" w:hAnsi="Times New Roman" w:cs="Times New Roman"/>
          <w:color w:val="000000" w:themeColor="text1"/>
          <w:sz w:val="28"/>
          <w:szCs w:val="28"/>
          <w:lang w:eastAsia="ru-RU"/>
        </w:rPr>
      </w:pPr>
      <w:r>
        <w:rPr>
          <w:rFonts w:ascii="Times New Roman" w:eastAsia="Tahoma" w:hAnsi="Times New Roman" w:cs="Times New Roman"/>
          <w:color w:val="000000" w:themeColor="text1"/>
          <w:sz w:val="28"/>
          <w:szCs w:val="28"/>
          <w:lang w:eastAsia="ru-RU"/>
        </w:rPr>
        <w:t xml:space="preserve">680054, г. Хабаровск, </w:t>
      </w:r>
      <w:r w:rsidRPr="00770C20">
        <w:rPr>
          <w:rFonts w:ascii="Times New Roman" w:eastAsia="Tahoma" w:hAnsi="Times New Roman" w:cs="Times New Roman"/>
          <w:color w:val="000000" w:themeColor="text1"/>
          <w:sz w:val="28"/>
          <w:szCs w:val="28"/>
          <w:lang w:eastAsia="ru-RU"/>
        </w:rPr>
        <w:t>ул. Тихоокеанская, 171б.</w:t>
      </w:r>
    </w:p>
    <w:p w:rsidR="00024219" w:rsidRPr="003D247B" w:rsidRDefault="00024219" w:rsidP="00024219">
      <w:pPr>
        <w:autoSpaceDE w:val="0"/>
        <w:autoSpaceDN w:val="0"/>
        <w:adjustRightInd w:val="0"/>
        <w:spacing w:after="0" w:line="240" w:lineRule="exact"/>
        <w:jc w:val="center"/>
        <w:rPr>
          <w:rFonts w:ascii="Times New Roman" w:eastAsia="Consultant" w:hAnsi="Times New Roman" w:cs="Times New Roman"/>
          <w:color w:val="FF0000"/>
          <w:sz w:val="28"/>
          <w:szCs w:val="28"/>
          <w:lang w:eastAsia="ru-RU"/>
        </w:rPr>
      </w:pPr>
    </w:p>
    <w:p w:rsidR="00024219" w:rsidRPr="003D247B" w:rsidRDefault="00024219" w:rsidP="00024219">
      <w:pPr>
        <w:autoSpaceDE w:val="0"/>
        <w:autoSpaceDN w:val="0"/>
        <w:adjustRightInd w:val="0"/>
        <w:spacing w:after="0" w:line="240" w:lineRule="auto"/>
        <w:ind w:firstLine="709"/>
        <w:rPr>
          <w:rFonts w:ascii="Times New Roman" w:eastAsia="Consultant" w:hAnsi="Times New Roman" w:cs="Times New Roman"/>
          <w:sz w:val="28"/>
          <w:szCs w:val="28"/>
          <w:lang w:eastAsia="ru-RU"/>
        </w:rPr>
      </w:pPr>
      <w:r w:rsidRPr="003D247B">
        <w:rPr>
          <w:rFonts w:ascii="Times New Roman" w:eastAsia="Consultant" w:hAnsi="Times New Roman" w:cs="Times New Roman"/>
          <w:sz w:val="28"/>
          <w:szCs w:val="28"/>
          <w:lang w:eastAsia="ru-RU"/>
        </w:rPr>
        <w:t xml:space="preserve">Оценка проведена </w:t>
      </w:r>
      <w:r w:rsidRPr="003D247B">
        <w:rPr>
          <w:rFonts w:ascii="Times New Roman" w:eastAsia="Consultant" w:hAnsi="Times New Roman" w:cs="Times New Roman"/>
          <w:sz w:val="28"/>
          <w:szCs w:val="28"/>
          <w:u w:val="single"/>
          <w:lang w:eastAsia="ru-RU"/>
        </w:rPr>
        <w:t>"22" июля 2025 г.</w:t>
      </w:r>
      <w:r w:rsidRPr="003D247B">
        <w:rPr>
          <w:rFonts w:ascii="Times New Roman" w:eastAsia="Consultant" w:hAnsi="Times New Roman" w:cs="Times New Roman"/>
          <w:sz w:val="28"/>
          <w:szCs w:val="28"/>
          <w:lang w:eastAsia="ru-RU"/>
        </w:rPr>
        <w:t xml:space="preserve"> комиссией в составе:</w:t>
      </w:r>
    </w:p>
    <w:p w:rsidR="00024219" w:rsidRPr="003D247B"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r w:rsidRPr="003D247B">
        <w:rPr>
          <w:rFonts w:ascii="Times New Roman" w:eastAsia="Consultant" w:hAnsi="Times New Roman" w:cs="Times New Roman"/>
          <w:sz w:val="20"/>
          <w:szCs w:val="20"/>
          <w:lang w:eastAsia="ru-RU"/>
        </w:rPr>
        <w:t xml:space="preserve">                                                         (дата)</w:t>
      </w:r>
    </w:p>
    <w:p w:rsidR="00024219" w:rsidRPr="003D247B"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p>
    <w:p w:rsidR="00024219" w:rsidRPr="003D247B"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p>
    <w:tbl>
      <w:tblPr>
        <w:tblW w:w="15843" w:type="dxa"/>
        <w:tblLook w:val="04A0" w:firstRow="1" w:lastRow="0" w:firstColumn="1" w:lastColumn="0" w:noHBand="0" w:noVBand="1"/>
      </w:tblPr>
      <w:tblGrid>
        <w:gridCol w:w="3369"/>
        <w:gridCol w:w="6237"/>
        <w:gridCol w:w="6237"/>
      </w:tblGrid>
      <w:tr w:rsidR="00024219" w:rsidRPr="003D247B" w:rsidTr="00F22B08">
        <w:tc>
          <w:tcPr>
            <w:tcW w:w="3369" w:type="dxa"/>
            <w:shd w:val="clear" w:color="auto" w:fill="auto"/>
          </w:tcPr>
          <w:p w:rsidR="00024219" w:rsidRPr="003D247B" w:rsidRDefault="00024219" w:rsidP="00024219">
            <w:pPr>
              <w:spacing w:before="60" w:after="60" w:line="240" w:lineRule="exact"/>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Председатель комиссии</w:t>
            </w:r>
          </w:p>
        </w:tc>
        <w:tc>
          <w:tcPr>
            <w:tcW w:w="6237" w:type="dxa"/>
          </w:tcPr>
          <w:p w:rsidR="00024219" w:rsidRPr="003D247B" w:rsidRDefault="00024219" w:rsidP="00024219">
            <w:pPr>
              <w:spacing w:before="60" w:after="6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Сорокин Александр Александрович, заместитель министра образования и науки края</w:t>
            </w:r>
          </w:p>
        </w:tc>
        <w:tc>
          <w:tcPr>
            <w:tcW w:w="6237" w:type="dxa"/>
            <w:shd w:val="clear" w:color="auto" w:fill="auto"/>
          </w:tcPr>
          <w:p w:rsidR="00024219" w:rsidRPr="003D247B" w:rsidRDefault="00024219" w:rsidP="00024219">
            <w:pPr>
              <w:spacing w:after="60" w:line="240" w:lineRule="exact"/>
              <w:ind w:left="176" w:hanging="176"/>
              <w:jc w:val="both"/>
              <w:rPr>
                <w:rFonts w:ascii="Times New Roman" w:eastAsia="Tahoma" w:hAnsi="Times New Roman" w:cs="Times New Roman"/>
                <w:sz w:val="28"/>
                <w:szCs w:val="28"/>
                <w:lang w:eastAsia="ru-RU"/>
              </w:rPr>
            </w:pPr>
          </w:p>
        </w:tc>
      </w:tr>
      <w:tr w:rsidR="00024219" w:rsidRPr="003D247B" w:rsidTr="00F22B08">
        <w:tc>
          <w:tcPr>
            <w:tcW w:w="3369" w:type="dxa"/>
            <w:shd w:val="clear" w:color="auto" w:fill="auto"/>
          </w:tcPr>
          <w:p w:rsidR="00024219" w:rsidRPr="003D247B" w:rsidRDefault="00024219" w:rsidP="00024219">
            <w:pPr>
              <w:spacing w:before="60" w:after="60" w:line="240" w:lineRule="exact"/>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Секретарь комиссии</w:t>
            </w:r>
          </w:p>
        </w:tc>
        <w:tc>
          <w:tcPr>
            <w:tcW w:w="6237" w:type="dxa"/>
          </w:tcPr>
          <w:p w:rsidR="00024219" w:rsidRPr="003D247B" w:rsidRDefault="00024219" w:rsidP="00024219">
            <w:pPr>
              <w:spacing w:before="60" w:after="6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w:t>
            </w:r>
            <w:r w:rsidRPr="003D247B">
              <w:rPr>
                <w:rFonts w:ascii="Times New Roman" w:eastAsia="Tahoma" w:hAnsi="Times New Roman" w:cs="Times New Roman"/>
                <w:sz w:val="28"/>
                <w:szCs w:val="28"/>
                <w:lang w:eastAsia="ru-RU" w:bidi="ru-RU"/>
              </w:rPr>
              <w:t xml:space="preserve">Земцов Герман Михайлович, </w:t>
            </w:r>
            <w:r w:rsidRPr="003D247B">
              <w:rPr>
                <w:rFonts w:ascii="Times New Roman" w:eastAsia="Tahoma" w:hAnsi="Times New Roman" w:cs="Times New Roman"/>
                <w:sz w:val="28"/>
                <w:szCs w:val="28"/>
                <w:lang w:eastAsia="ru-RU"/>
              </w:rPr>
              <w:t>консультант отдела среднего профессионального образования управления профессионального образования министерства</w:t>
            </w:r>
          </w:p>
        </w:tc>
        <w:tc>
          <w:tcPr>
            <w:tcW w:w="6237" w:type="dxa"/>
            <w:shd w:val="clear" w:color="auto" w:fill="auto"/>
          </w:tcPr>
          <w:p w:rsidR="00024219" w:rsidRPr="003D247B" w:rsidRDefault="00024219" w:rsidP="00024219">
            <w:pPr>
              <w:spacing w:after="60" w:line="240" w:lineRule="exact"/>
              <w:ind w:left="176" w:hanging="176"/>
              <w:jc w:val="both"/>
              <w:rPr>
                <w:rFonts w:ascii="Times New Roman" w:eastAsia="Tahoma" w:hAnsi="Times New Roman" w:cs="Times New Roman"/>
                <w:sz w:val="28"/>
                <w:szCs w:val="28"/>
                <w:lang w:eastAsia="ru-RU"/>
              </w:rPr>
            </w:pPr>
          </w:p>
        </w:tc>
      </w:tr>
      <w:tr w:rsidR="00024219" w:rsidRPr="003D247B" w:rsidTr="00F22B08">
        <w:tc>
          <w:tcPr>
            <w:tcW w:w="3369" w:type="dxa"/>
            <w:shd w:val="clear" w:color="auto" w:fill="auto"/>
          </w:tcPr>
          <w:p w:rsidR="00024219" w:rsidRPr="003D247B" w:rsidRDefault="00024219" w:rsidP="00024219">
            <w:pPr>
              <w:spacing w:before="60" w:after="0" w:line="240" w:lineRule="exact"/>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Члены комиссии:</w:t>
            </w:r>
          </w:p>
        </w:tc>
        <w:tc>
          <w:tcPr>
            <w:tcW w:w="6237" w:type="dxa"/>
          </w:tcPr>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xml:space="preserve">- Козлова Виктория Юрьевна, </w:t>
            </w:r>
            <w:r w:rsidRPr="003D247B">
              <w:rPr>
                <w:rFonts w:ascii="Times New Roman" w:eastAsia="Tahoma" w:hAnsi="Times New Roman" w:cs="Times New Roman"/>
                <w:color w:val="000000"/>
                <w:sz w:val="28"/>
                <w:szCs w:val="28"/>
                <w:lang w:eastAsia="ru-RU"/>
              </w:rPr>
              <w:t>заместитель начальника управления планирования, финансирования и контроля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Ивлева Ирина Михайловна, начальник управления воспитания, дополнительного образования и детского отдыха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Попов Глеб Александрович, старший инспектор финансово-экономического отдела профессионального образования управления планирования, финансирования и контроля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w:t>
            </w:r>
            <w:proofErr w:type="spellStart"/>
            <w:r w:rsidRPr="003D247B">
              <w:rPr>
                <w:rFonts w:ascii="Times New Roman" w:eastAsia="Tahoma" w:hAnsi="Times New Roman" w:cs="Times New Roman"/>
                <w:sz w:val="28"/>
                <w:szCs w:val="28"/>
                <w:lang w:eastAsia="ru-RU"/>
              </w:rPr>
              <w:t>Майдурова</w:t>
            </w:r>
            <w:proofErr w:type="spellEnd"/>
            <w:r w:rsidRPr="003D247B">
              <w:rPr>
                <w:rFonts w:ascii="Times New Roman" w:eastAsia="Tahoma" w:hAnsi="Times New Roman" w:cs="Times New Roman"/>
                <w:sz w:val="28"/>
                <w:szCs w:val="28"/>
                <w:lang w:eastAsia="ru-RU"/>
              </w:rPr>
              <w:t xml:space="preserve"> Светлана Юрьевна, начальник отдела среднего профессионального образования управления профессионального образования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w:t>
            </w:r>
            <w:proofErr w:type="spellStart"/>
            <w:r w:rsidRPr="003D247B">
              <w:rPr>
                <w:rFonts w:ascii="Times New Roman" w:eastAsia="Tahoma" w:hAnsi="Times New Roman" w:cs="Times New Roman"/>
                <w:sz w:val="28"/>
                <w:szCs w:val="28"/>
                <w:lang w:eastAsia="ru-RU"/>
              </w:rPr>
              <w:t>Матаржук</w:t>
            </w:r>
            <w:proofErr w:type="spellEnd"/>
            <w:r w:rsidRPr="003D247B">
              <w:rPr>
                <w:rFonts w:ascii="Times New Roman" w:eastAsia="Tahoma" w:hAnsi="Times New Roman" w:cs="Times New Roman"/>
                <w:sz w:val="28"/>
                <w:szCs w:val="28"/>
                <w:lang w:eastAsia="ru-RU"/>
              </w:rPr>
              <w:t xml:space="preserve"> Евгения Владимировна, заместитель министра – начальник управления общего образования министерства</w:t>
            </w:r>
          </w:p>
        </w:tc>
        <w:tc>
          <w:tcPr>
            <w:tcW w:w="6237" w:type="dxa"/>
            <w:shd w:val="clear" w:color="auto" w:fill="auto"/>
          </w:tcPr>
          <w:p w:rsidR="00024219" w:rsidRPr="003D247B"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3D247B" w:rsidTr="00F22B08">
        <w:tc>
          <w:tcPr>
            <w:tcW w:w="3369" w:type="dxa"/>
            <w:shd w:val="clear" w:color="auto" w:fill="auto"/>
          </w:tcPr>
          <w:p w:rsidR="00024219" w:rsidRPr="003D247B"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024219" w:rsidRPr="003D247B"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3D247B" w:rsidTr="00F22B08">
        <w:tc>
          <w:tcPr>
            <w:tcW w:w="3369" w:type="dxa"/>
            <w:shd w:val="clear" w:color="auto" w:fill="auto"/>
          </w:tcPr>
          <w:p w:rsidR="00024219" w:rsidRPr="003D247B"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Процко Андрей Анатольевич, заместитель министра – начальник управления государственной регламентации образовательной деятельности министерства</w:t>
            </w:r>
          </w:p>
        </w:tc>
        <w:tc>
          <w:tcPr>
            <w:tcW w:w="6237" w:type="dxa"/>
            <w:shd w:val="clear" w:color="auto" w:fill="auto"/>
          </w:tcPr>
          <w:p w:rsidR="00024219" w:rsidRPr="003D247B"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3D247B" w:rsidTr="00F22B08">
        <w:trPr>
          <w:trHeight w:val="299"/>
        </w:trPr>
        <w:tc>
          <w:tcPr>
            <w:tcW w:w="3369" w:type="dxa"/>
            <w:shd w:val="clear" w:color="auto" w:fill="auto"/>
          </w:tcPr>
          <w:p w:rsidR="00024219" w:rsidRPr="003D247B"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r w:rsidRPr="003D247B">
              <w:rPr>
                <w:rFonts w:ascii="Times New Roman" w:eastAsia="Tahoma" w:hAnsi="Times New Roman" w:cs="Times New Roman"/>
                <w:sz w:val="28"/>
                <w:szCs w:val="28"/>
                <w:lang w:eastAsia="ru-RU"/>
              </w:rPr>
              <w:t>- Чашкин Сергей Анатольевич, консультант отдела правовой работы управления правовой работы и организации государственных закупок министерства</w:t>
            </w:r>
          </w:p>
          <w:p w:rsidR="00024219" w:rsidRPr="003D247B" w:rsidRDefault="00024219" w:rsidP="00024219">
            <w:pPr>
              <w:spacing w:before="60" w:after="0" w:line="240" w:lineRule="exact"/>
              <w:ind w:left="176" w:hanging="176"/>
              <w:jc w:val="both"/>
              <w:rPr>
                <w:rFonts w:ascii="Times New Roman" w:eastAsia="Tahoma" w:hAnsi="Times New Roman" w:cs="Times New Roman"/>
                <w:sz w:val="28"/>
                <w:szCs w:val="28"/>
                <w:lang w:eastAsia="ru-RU"/>
              </w:rPr>
            </w:pPr>
          </w:p>
        </w:tc>
        <w:tc>
          <w:tcPr>
            <w:tcW w:w="6237" w:type="dxa"/>
            <w:shd w:val="clear" w:color="auto" w:fill="auto"/>
          </w:tcPr>
          <w:p w:rsidR="00024219" w:rsidRPr="003D247B"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bl>
    <w:p w:rsidR="00024219" w:rsidRPr="003D247B" w:rsidRDefault="00024219" w:rsidP="00024219">
      <w:pPr>
        <w:autoSpaceDE w:val="0"/>
        <w:autoSpaceDN w:val="0"/>
        <w:adjustRightInd w:val="0"/>
        <w:spacing w:before="120" w:after="0" w:line="240" w:lineRule="auto"/>
        <w:ind w:firstLine="709"/>
        <w:contextualSpacing/>
        <w:jc w:val="both"/>
        <w:rPr>
          <w:rFonts w:ascii="Times New Roman" w:eastAsia="Tahoma" w:hAnsi="Times New Roman" w:cs="Times New Roman"/>
          <w:color w:val="000000"/>
          <w:sz w:val="28"/>
          <w:szCs w:val="28"/>
          <w:lang w:eastAsia="ru-RU"/>
        </w:rPr>
      </w:pPr>
      <w:r w:rsidRPr="003D247B">
        <w:rPr>
          <w:rFonts w:ascii="Times New Roman" w:eastAsia="Tahoma" w:hAnsi="Times New Roman" w:cs="Times New Roman"/>
          <w:color w:val="000000"/>
          <w:sz w:val="28"/>
          <w:szCs w:val="28"/>
          <w:lang w:eastAsia="ru-RU"/>
        </w:rPr>
        <w:t>Основные характеристики объекта социальной инфраструктуры для детей, являющегося краевой государственной собственностью, предлагаемого к передаче в аренду (далее также – объект аренды), безвозмездное пользование,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p>
    <w:p w:rsidR="00024219" w:rsidRDefault="00024219" w:rsidP="00550B2C">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3D247B">
        <w:rPr>
          <w:rFonts w:ascii="Times New Roman" w:eastAsia="Consultant" w:hAnsi="Times New Roman" w:cs="Times New Roman"/>
          <w:sz w:val="28"/>
          <w:szCs w:val="28"/>
          <w:lang w:eastAsia="ru-RU"/>
        </w:rPr>
        <w:t xml:space="preserve">Комиссия рассмотрела обращение краевого государственного бюджетного профессионального образовательного учреждения </w:t>
      </w:r>
      <w:r w:rsidR="00550B2C" w:rsidRPr="003D247B">
        <w:rPr>
          <w:rFonts w:ascii="Times New Roman" w:eastAsia="Consultant" w:hAnsi="Times New Roman" w:cs="Times New Roman"/>
          <w:sz w:val="28"/>
          <w:szCs w:val="28"/>
          <w:lang w:eastAsia="ru-RU"/>
        </w:rPr>
        <w:t xml:space="preserve">«Хабаровский автомеханический колледж» </w:t>
      </w:r>
      <w:r w:rsidRPr="003D247B">
        <w:rPr>
          <w:rFonts w:ascii="Times New Roman" w:eastAsia="Consultant" w:hAnsi="Times New Roman" w:cs="Times New Roman"/>
          <w:sz w:val="28"/>
          <w:szCs w:val="28"/>
          <w:lang w:eastAsia="ru-RU"/>
        </w:rPr>
        <w:t xml:space="preserve">(далее – </w:t>
      </w:r>
      <w:r w:rsidR="00550B2C" w:rsidRPr="003D247B">
        <w:rPr>
          <w:rFonts w:ascii="Times New Roman" w:eastAsia="Consultant" w:hAnsi="Times New Roman" w:cs="Times New Roman"/>
          <w:sz w:val="28"/>
          <w:szCs w:val="28"/>
          <w:lang w:eastAsia="ru-RU"/>
        </w:rPr>
        <w:t>КГБ ПОУ ХАМК</w:t>
      </w:r>
      <w:r w:rsidR="00B10976" w:rsidRPr="003D247B">
        <w:rPr>
          <w:rFonts w:ascii="Times New Roman" w:eastAsia="Consultant" w:hAnsi="Times New Roman" w:cs="Times New Roman"/>
          <w:sz w:val="28"/>
          <w:szCs w:val="28"/>
          <w:lang w:eastAsia="ru-RU"/>
        </w:rPr>
        <w:t>, организация</w:t>
      </w:r>
      <w:r w:rsidRPr="003D247B">
        <w:rPr>
          <w:rFonts w:ascii="Times New Roman" w:eastAsia="Consultant" w:hAnsi="Times New Roman" w:cs="Times New Roman"/>
          <w:sz w:val="28"/>
          <w:szCs w:val="28"/>
          <w:lang w:eastAsia="ru-RU"/>
        </w:rPr>
        <w:t>) с комплектом документов, предусмотренных 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 оценки последствий принятия решения о заключении договора о передаче в аренду по результатам проведения</w:t>
      </w:r>
      <w:r w:rsidR="00550B2C" w:rsidRPr="003D247B">
        <w:rPr>
          <w:rFonts w:ascii="Times New Roman" w:eastAsia="Consultant" w:hAnsi="Times New Roman" w:cs="Times New Roman"/>
          <w:sz w:val="28"/>
          <w:szCs w:val="28"/>
          <w:lang w:eastAsia="ru-RU"/>
        </w:rPr>
        <w:t xml:space="preserve"> аукциона в отношении следующего недвижимого имущества, закрепленного</w:t>
      </w:r>
      <w:r w:rsidRPr="003D247B">
        <w:rPr>
          <w:rFonts w:ascii="Times New Roman" w:eastAsia="Consultant" w:hAnsi="Times New Roman" w:cs="Times New Roman"/>
          <w:sz w:val="28"/>
          <w:szCs w:val="28"/>
          <w:lang w:eastAsia="ru-RU"/>
        </w:rPr>
        <w:t xml:space="preserve"> за организацией на праве оперативного управления: </w:t>
      </w:r>
    </w:p>
    <w:p w:rsidR="00770C20" w:rsidRPr="00770C20" w:rsidRDefault="00770C20"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770C20">
        <w:rPr>
          <w:rFonts w:ascii="Times New Roman" w:eastAsia="Consultant" w:hAnsi="Times New Roman" w:cs="Times New Roman"/>
          <w:sz w:val="28"/>
          <w:szCs w:val="28"/>
          <w:lang w:eastAsia="ru-RU"/>
        </w:rPr>
        <w:t>– нежилое помещение, находящееся на первом этаже здания "Общежитие", часть помещения № 48, общей площадью 1,0 кв. м., с кадастровым номером 27:23:0010425:56, расположенное п</w:t>
      </w:r>
      <w:r>
        <w:rPr>
          <w:rFonts w:ascii="Times New Roman" w:eastAsia="Consultant" w:hAnsi="Times New Roman" w:cs="Times New Roman"/>
          <w:sz w:val="28"/>
          <w:szCs w:val="28"/>
          <w:lang w:eastAsia="ru-RU"/>
        </w:rPr>
        <w:t xml:space="preserve">о адресу: 680054, г. Хабаровск, </w:t>
      </w:r>
      <w:r w:rsidRPr="00770C20">
        <w:rPr>
          <w:rFonts w:ascii="Times New Roman" w:eastAsia="Consultant" w:hAnsi="Times New Roman" w:cs="Times New Roman"/>
          <w:sz w:val="28"/>
          <w:szCs w:val="28"/>
          <w:lang w:eastAsia="ru-RU"/>
        </w:rPr>
        <w:t>ул. Тихоокеанская, 171б.</w:t>
      </w:r>
    </w:p>
    <w:p w:rsidR="00770C20" w:rsidRPr="003D247B" w:rsidRDefault="00E2413D"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3D247B">
        <w:rPr>
          <w:rFonts w:ascii="Times New Roman" w:eastAsia="Consultant" w:hAnsi="Times New Roman" w:cs="Times New Roman"/>
          <w:sz w:val="28"/>
          <w:szCs w:val="28"/>
          <w:lang w:eastAsia="ru-RU"/>
        </w:rPr>
        <w:t>Срок аренды устанавливается с даты заключения договора на 1 год.</w:t>
      </w:r>
    </w:p>
    <w:p w:rsidR="00770C20" w:rsidRDefault="00770C20"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770C20">
        <w:rPr>
          <w:rFonts w:ascii="Times New Roman" w:eastAsia="Consultant" w:hAnsi="Times New Roman" w:cs="Times New Roman"/>
          <w:sz w:val="28"/>
          <w:szCs w:val="28"/>
          <w:lang w:eastAsia="ru-RU"/>
        </w:rPr>
        <w:t xml:space="preserve">Цель аренды – установка </w:t>
      </w:r>
      <w:proofErr w:type="spellStart"/>
      <w:r w:rsidRPr="00770C20">
        <w:rPr>
          <w:rFonts w:ascii="Times New Roman" w:eastAsia="Consultant" w:hAnsi="Times New Roman" w:cs="Times New Roman"/>
          <w:sz w:val="28"/>
          <w:szCs w:val="28"/>
          <w:lang w:eastAsia="ru-RU"/>
        </w:rPr>
        <w:t>вендингового</w:t>
      </w:r>
      <w:proofErr w:type="spellEnd"/>
      <w:r w:rsidRPr="00770C20">
        <w:rPr>
          <w:rFonts w:ascii="Times New Roman" w:eastAsia="Consultant" w:hAnsi="Times New Roman" w:cs="Times New Roman"/>
          <w:sz w:val="28"/>
          <w:szCs w:val="28"/>
          <w:lang w:eastAsia="ru-RU"/>
        </w:rPr>
        <w:t xml:space="preserve"> оборудования (кофейный автомат) в целях обеспечения общественног</w:t>
      </w:r>
      <w:r>
        <w:rPr>
          <w:rFonts w:ascii="Times New Roman" w:eastAsia="Consultant" w:hAnsi="Times New Roman" w:cs="Times New Roman"/>
          <w:sz w:val="28"/>
          <w:szCs w:val="28"/>
          <w:lang w:eastAsia="ru-RU"/>
        </w:rPr>
        <w:t xml:space="preserve">о питания и питания обучающихся </w:t>
      </w:r>
      <w:r w:rsidRPr="00770C20">
        <w:rPr>
          <w:rFonts w:ascii="Times New Roman" w:eastAsia="Consultant" w:hAnsi="Times New Roman" w:cs="Times New Roman"/>
          <w:sz w:val="28"/>
          <w:szCs w:val="28"/>
          <w:lang w:eastAsia="ru-RU"/>
        </w:rPr>
        <w:t>КГБ ПОУ ХАМК</w:t>
      </w:r>
      <w:r>
        <w:rPr>
          <w:rFonts w:ascii="Times New Roman" w:eastAsia="Consultant" w:hAnsi="Times New Roman" w:cs="Times New Roman"/>
          <w:sz w:val="28"/>
          <w:szCs w:val="28"/>
          <w:lang w:eastAsia="ru-RU"/>
        </w:rPr>
        <w:t>.</w:t>
      </w:r>
    </w:p>
    <w:p w:rsidR="00024219" w:rsidRPr="003D247B" w:rsidRDefault="00024219" w:rsidP="00024219">
      <w:pPr>
        <w:autoSpaceDE w:val="0"/>
        <w:autoSpaceDN w:val="0"/>
        <w:adjustRightInd w:val="0"/>
        <w:spacing w:after="0" w:line="240" w:lineRule="auto"/>
        <w:ind w:firstLine="709"/>
        <w:jc w:val="both"/>
        <w:rPr>
          <w:rFonts w:ascii="Times New Roman" w:eastAsia="Tahoma" w:hAnsi="Times New Roman" w:cs="Times New Roman"/>
          <w:color w:val="000000"/>
          <w:sz w:val="28"/>
          <w:szCs w:val="28"/>
          <w:lang w:eastAsia="ru-RU"/>
        </w:rPr>
      </w:pPr>
      <w:r w:rsidRPr="003D247B">
        <w:rPr>
          <w:rFonts w:ascii="Times New Roman" w:eastAsia="Tahoma" w:hAnsi="Times New Roman" w:cs="Times New Roman"/>
          <w:sz w:val="28"/>
          <w:szCs w:val="28"/>
          <w:lang w:eastAsia="ru-RU"/>
        </w:rPr>
        <w:t>Обоснование необходимости принятия решения о</w:t>
      </w:r>
      <w:r w:rsidRPr="003D247B">
        <w:rPr>
          <w:rFonts w:ascii="Times New Roman" w:eastAsia="Tahoma" w:hAnsi="Times New Roman" w:cs="Times New Roman"/>
          <w:color w:val="000000"/>
          <w:sz w:val="28"/>
          <w:szCs w:val="28"/>
          <w:lang w:eastAsia="ru-RU"/>
        </w:rPr>
        <w:t xml:space="preserve">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024219" w:rsidRPr="003D247B" w:rsidRDefault="00024219" w:rsidP="00024219">
      <w:pPr>
        <w:tabs>
          <w:tab w:val="center" w:pos="4677"/>
          <w:tab w:val="right" w:pos="9355"/>
        </w:tabs>
        <w:spacing w:after="0" w:line="240" w:lineRule="auto"/>
        <w:ind w:firstLine="709"/>
        <w:jc w:val="both"/>
        <w:rPr>
          <w:rFonts w:ascii="Times New Roman" w:eastAsia="Tahoma" w:hAnsi="Times New Roman" w:cs="Times New Roman"/>
          <w:color w:val="000000"/>
          <w:sz w:val="28"/>
          <w:szCs w:val="28"/>
          <w:lang w:eastAsia="ru-RU"/>
        </w:rPr>
      </w:pPr>
      <w:r w:rsidRPr="003D247B">
        <w:rPr>
          <w:rFonts w:ascii="Times New Roman" w:eastAsia="Tahoma" w:hAnsi="Times New Roman" w:cs="Times New Roman"/>
          <w:color w:val="000000"/>
          <w:sz w:val="28"/>
          <w:szCs w:val="28"/>
          <w:lang w:eastAsia="ru-RU"/>
        </w:rPr>
        <w:t>В целях повышения эффективности использования государственного</w:t>
      </w:r>
      <w:r w:rsidRPr="003D247B">
        <w:rPr>
          <w:rFonts w:ascii="Times New Roman" w:eastAsia="Tahoma" w:hAnsi="Times New Roman" w:cs="Times New Roman"/>
          <w:color w:val="000000"/>
          <w:sz w:val="28"/>
          <w:szCs w:val="28"/>
          <w:lang w:eastAsia="ru-RU"/>
        </w:rPr>
        <w:br/>
        <w:t>имущества Хабаровского края.</w:t>
      </w:r>
    </w:p>
    <w:p w:rsidR="00024219" w:rsidRPr="003D247B" w:rsidRDefault="00024219" w:rsidP="00024219">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3D247B">
        <w:rPr>
          <w:rFonts w:ascii="Times New Roman" w:eastAsia="Consultant" w:hAnsi="Times New Roman" w:cs="Times New Roman"/>
          <w:sz w:val="28"/>
          <w:szCs w:val="28"/>
          <w:lang w:eastAsia="ru-RU"/>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а также соблюдения лицензионных требований к деятельности данной организации. Указанные помещения не используются при организации образовательного процесса.</w:t>
      </w:r>
    </w:p>
    <w:p w:rsidR="003D247B" w:rsidRPr="003D247B" w:rsidRDefault="00024219" w:rsidP="003D247B">
      <w:pPr>
        <w:autoSpaceDE w:val="0"/>
        <w:autoSpaceDN w:val="0"/>
        <w:adjustRightInd w:val="0"/>
        <w:spacing w:after="120" w:line="240" w:lineRule="auto"/>
        <w:ind w:firstLine="709"/>
        <w:jc w:val="both"/>
        <w:rPr>
          <w:rFonts w:ascii="Times New Roman" w:eastAsia="Calibri" w:hAnsi="Times New Roman" w:cs="Times New Roman"/>
          <w:sz w:val="28"/>
          <w:szCs w:val="28"/>
          <w:lang w:eastAsia="ru-RU"/>
        </w:rPr>
      </w:pPr>
      <w:r w:rsidRPr="003D247B">
        <w:rPr>
          <w:rFonts w:ascii="Times New Roman" w:eastAsia="Calibri" w:hAnsi="Times New Roman" w:cs="Times New Roman"/>
          <w:sz w:val="28"/>
          <w:szCs w:val="28"/>
          <w:lang w:eastAsia="ru-RU"/>
        </w:rPr>
        <w:t>Учитывая изложенное, комиссией, действующей в соответствии с постановлением Правительства Ха</w:t>
      </w:r>
      <w:r w:rsidR="00E17078">
        <w:rPr>
          <w:rFonts w:ascii="Times New Roman" w:eastAsia="Calibri" w:hAnsi="Times New Roman" w:cs="Times New Roman"/>
          <w:sz w:val="28"/>
          <w:szCs w:val="28"/>
          <w:lang w:eastAsia="ru-RU"/>
        </w:rPr>
        <w:t xml:space="preserve">баровского края от 05.08.2013 № </w:t>
      </w:r>
      <w:bookmarkStart w:id="0" w:name="_GoBack"/>
      <w:bookmarkEnd w:id="0"/>
      <w:r w:rsidRPr="003D247B">
        <w:rPr>
          <w:rFonts w:ascii="Times New Roman" w:eastAsia="Calibri" w:hAnsi="Times New Roman" w:cs="Times New Roman"/>
          <w:sz w:val="28"/>
          <w:szCs w:val="28"/>
          <w:lang w:eastAsia="ru-RU"/>
        </w:rPr>
        <w:t xml:space="preserve">217-пр «О порядке проведения оценки последствий принятия решения о реконструкции, </w:t>
      </w:r>
      <w:r w:rsidRPr="003D247B">
        <w:rPr>
          <w:rFonts w:ascii="Times New Roman" w:eastAsia="Calibri" w:hAnsi="Times New Roman" w:cs="Times New Roman"/>
          <w:sz w:val="28"/>
          <w:szCs w:val="28"/>
          <w:lang w:eastAsia="ru-RU"/>
        </w:rPr>
        <w:lastRenderedPageBreak/>
        <w:t>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краевыми государственными организациями, образующими социальную инфраструктуру для детей, договоров аренды, договоров безвозмездного пользования закрепленных за ними объектов собственности, либо о реорганизации или ликвидации краевых государственных организаций, образующих социальную инфраструктуру для детей»,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center"/>
              <w:rPr>
                <w:rFonts w:ascii="Times New Roman" w:hAnsi="Times New Roman" w:cs="Times New Roman"/>
                <w:spacing w:val="-6"/>
                <w:sz w:val="20"/>
                <w:szCs w:val="20"/>
              </w:rPr>
            </w:pPr>
            <w:r w:rsidRPr="00024219">
              <w:rPr>
                <w:rFonts w:ascii="Times New Roman" w:hAnsi="Times New Roman" w:cs="Times New Roman"/>
                <w:spacing w:val="-6"/>
                <w:sz w:val="20"/>
                <w:szCs w:val="20"/>
              </w:rPr>
              <w:t>Критерий</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center"/>
              <w:rPr>
                <w:rFonts w:ascii="Times New Roman" w:hAnsi="Times New Roman" w:cs="Times New Roman"/>
                <w:spacing w:val="-6"/>
                <w:sz w:val="20"/>
                <w:szCs w:val="20"/>
              </w:rPr>
            </w:pPr>
            <w:r w:rsidRPr="00024219">
              <w:rPr>
                <w:rFonts w:ascii="Times New Roman" w:hAnsi="Times New Roman" w:cs="Times New Roman"/>
                <w:spacing w:val="-6"/>
                <w:sz w:val="20"/>
                <w:szCs w:val="20"/>
              </w:rPr>
              <w:t>Значение</w:t>
            </w:r>
          </w:p>
        </w:tc>
      </w:tr>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both"/>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Обеспечено</w:t>
            </w:r>
          </w:p>
        </w:tc>
      </w:tr>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both"/>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Обеспечено</w:t>
            </w:r>
          </w:p>
        </w:tc>
      </w:tr>
    </w:tbl>
    <w:p w:rsidR="00024219" w:rsidRPr="00024219" w:rsidRDefault="00024219" w:rsidP="00024219">
      <w:pPr>
        <w:autoSpaceDE w:val="0"/>
        <w:autoSpaceDN w:val="0"/>
        <w:adjustRightInd w:val="0"/>
        <w:spacing w:before="120"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 xml:space="preserve">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w:t>
      </w:r>
      <w:r w:rsidRPr="00024219">
        <w:rPr>
          <w:rFonts w:ascii="Times New Roman" w:eastAsia="Consultant" w:hAnsi="Times New Roman" w:cs="Times New Roman"/>
          <w:spacing w:val="-6"/>
          <w:sz w:val="28"/>
          <w:szCs w:val="28"/>
          <w:lang w:eastAsia="ru-RU"/>
        </w:rPr>
        <w:lastRenderedPageBreak/>
        <w:t>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550B2C" w:rsidRDefault="00024219" w:rsidP="00550B2C">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Tahoma" w:hAnsi="Times New Roman" w:cs="Times New Roman"/>
          <w:color w:val="000000"/>
          <w:spacing w:val="-6"/>
          <w:sz w:val="28"/>
          <w:szCs w:val="28"/>
          <w:lang w:eastAsia="ru-RU"/>
        </w:rPr>
        <w:t xml:space="preserve">Комиссия считает возможным заключение </w:t>
      </w:r>
      <w:r w:rsidR="00550B2C">
        <w:rPr>
          <w:rFonts w:ascii="Times New Roman" w:eastAsia="Tahoma" w:hAnsi="Times New Roman" w:cs="Times New Roman"/>
          <w:color w:val="000000"/>
          <w:spacing w:val="-6"/>
          <w:sz w:val="28"/>
          <w:szCs w:val="28"/>
          <w:lang w:eastAsia="ru-RU"/>
        </w:rPr>
        <w:t xml:space="preserve">КГБ ПОУ ХАМК </w:t>
      </w:r>
      <w:r w:rsidRPr="00024219">
        <w:rPr>
          <w:rFonts w:ascii="Times New Roman" w:eastAsia="Tahoma" w:hAnsi="Times New Roman" w:cs="Times New Roman"/>
          <w:color w:val="000000"/>
          <w:spacing w:val="-6"/>
          <w:sz w:val="28"/>
          <w:szCs w:val="28"/>
          <w:lang w:eastAsia="ru-RU"/>
        </w:rPr>
        <w:t xml:space="preserve">в установленном законодательством Российской Федерации и Хабаровского края порядке договора аренды (положительное заключение) по результатам проведения аукциона </w:t>
      </w:r>
      <w:r w:rsidR="00550B2C">
        <w:rPr>
          <w:rFonts w:ascii="Times New Roman" w:eastAsia="Consultant" w:hAnsi="Times New Roman" w:cs="Times New Roman"/>
          <w:spacing w:val="-6"/>
          <w:sz w:val="28"/>
          <w:szCs w:val="28"/>
          <w:lang w:eastAsia="ru-RU"/>
        </w:rPr>
        <w:t>в отношении</w:t>
      </w:r>
      <w:r w:rsidR="00550B2C" w:rsidRPr="00550B2C">
        <w:rPr>
          <w:rFonts w:ascii="Times New Roman" w:eastAsia="Consultant" w:hAnsi="Times New Roman" w:cs="Times New Roman"/>
          <w:spacing w:val="-6"/>
          <w:sz w:val="28"/>
          <w:szCs w:val="28"/>
          <w:lang w:eastAsia="ru-RU"/>
        </w:rPr>
        <w:t xml:space="preserve"> следующего недвижимого имущества, закрепленного за организацией на</w:t>
      </w:r>
      <w:r w:rsidR="00550B2C">
        <w:rPr>
          <w:rFonts w:ascii="Times New Roman" w:eastAsia="Consultant" w:hAnsi="Times New Roman" w:cs="Times New Roman"/>
          <w:spacing w:val="-6"/>
          <w:sz w:val="28"/>
          <w:szCs w:val="28"/>
          <w:lang w:eastAsia="ru-RU"/>
        </w:rPr>
        <w:t xml:space="preserve"> праве оперативного управления:</w:t>
      </w:r>
    </w:p>
    <w:p w:rsidR="00770C20" w:rsidRPr="00770C20" w:rsidRDefault="00770C20"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770C20">
        <w:rPr>
          <w:rFonts w:ascii="Times New Roman" w:eastAsia="Consultant" w:hAnsi="Times New Roman" w:cs="Times New Roman"/>
          <w:sz w:val="28"/>
          <w:szCs w:val="28"/>
          <w:lang w:eastAsia="ru-RU"/>
        </w:rPr>
        <w:t>– нежилое помещение, находящееся на первом этаже здания "Общежитие", часть помещения № 48, общей площадью 1,0 кв. м., с кадастровым номером 27:23:0010425:56, расположенное п</w:t>
      </w:r>
      <w:r>
        <w:rPr>
          <w:rFonts w:ascii="Times New Roman" w:eastAsia="Consultant" w:hAnsi="Times New Roman" w:cs="Times New Roman"/>
          <w:sz w:val="28"/>
          <w:szCs w:val="28"/>
          <w:lang w:eastAsia="ru-RU"/>
        </w:rPr>
        <w:t xml:space="preserve">о адресу: 680054, г. Хабаровск, </w:t>
      </w:r>
      <w:r w:rsidRPr="00770C20">
        <w:rPr>
          <w:rFonts w:ascii="Times New Roman" w:eastAsia="Consultant" w:hAnsi="Times New Roman" w:cs="Times New Roman"/>
          <w:sz w:val="28"/>
          <w:szCs w:val="28"/>
          <w:lang w:eastAsia="ru-RU"/>
        </w:rPr>
        <w:t>ул. Тихоокеанская, 171б.</w:t>
      </w:r>
    </w:p>
    <w:p w:rsidR="00770C20" w:rsidRPr="003D247B" w:rsidRDefault="00770C20"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3D247B">
        <w:rPr>
          <w:rFonts w:ascii="Times New Roman" w:eastAsia="Consultant" w:hAnsi="Times New Roman" w:cs="Times New Roman"/>
          <w:sz w:val="28"/>
          <w:szCs w:val="28"/>
          <w:lang w:eastAsia="ru-RU"/>
        </w:rPr>
        <w:t>Срок аренды устанавливается с даты заключения договора на 1 год.</w:t>
      </w:r>
    </w:p>
    <w:p w:rsidR="00024219" w:rsidRPr="00770C20" w:rsidRDefault="00770C20" w:rsidP="00770C20">
      <w:pPr>
        <w:autoSpaceDE w:val="0"/>
        <w:autoSpaceDN w:val="0"/>
        <w:adjustRightInd w:val="0"/>
        <w:spacing w:after="0" w:line="240" w:lineRule="auto"/>
        <w:ind w:firstLine="709"/>
        <w:jc w:val="both"/>
        <w:rPr>
          <w:rFonts w:ascii="Times New Roman" w:eastAsia="Consultant" w:hAnsi="Times New Roman" w:cs="Times New Roman"/>
          <w:sz w:val="28"/>
          <w:szCs w:val="28"/>
          <w:lang w:eastAsia="ru-RU"/>
        </w:rPr>
      </w:pPr>
      <w:r w:rsidRPr="00770C20">
        <w:rPr>
          <w:rFonts w:ascii="Times New Roman" w:eastAsia="Consultant" w:hAnsi="Times New Roman" w:cs="Times New Roman"/>
          <w:sz w:val="28"/>
          <w:szCs w:val="28"/>
          <w:lang w:eastAsia="ru-RU"/>
        </w:rPr>
        <w:t xml:space="preserve">Цель аренды – установка </w:t>
      </w:r>
      <w:proofErr w:type="spellStart"/>
      <w:r w:rsidRPr="00770C20">
        <w:rPr>
          <w:rFonts w:ascii="Times New Roman" w:eastAsia="Consultant" w:hAnsi="Times New Roman" w:cs="Times New Roman"/>
          <w:sz w:val="28"/>
          <w:szCs w:val="28"/>
          <w:lang w:eastAsia="ru-RU"/>
        </w:rPr>
        <w:t>вендингового</w:t>
      </w:r>
      <w:proofErr w:type="spellEnd"/>
      <w:r w:rsidRPr="00770C20">
        <w:rPr>
          <w:rFonts w:ascii="Times New Roman" w:eastAsia="Consultant" w:hAnsi="Times New Roman" w:cs="Times New Roman"/>
          <w:sz w:val="28"/>
          <w:szCs w:val="28"/>
          <w:lang w:eastAsia="ru-RU"/>
        </w:rPr>
        <w:t xml:space="preserve"> оборудования (кофейный автомат) в целях обеспечения общественног</w:t>
      </w:r>
      <w:r>
        <w:rPr>
          <w:rFonts w:ascii="Times New Roman" w:eastAsia="Consultant" w:hAnsi="Times New Roman" w:cs="Times New Roman"/>
          <w:sz w:val="28"/>
          <w:szCs w:val="28"/>
          <w:lang w:eastAsia="ru-RU"/>
        </w:rPr>
        <w:t xml:space="preserve">о питания и питания обучающихся </w:t>
      </w:r>
      <w:r w:rsidRPr="00770C20">
        <w:rPr>
          <w:rFonts w:ascii="Times New Roman" w:eastAsia="Consultant" w:hAnsi="Times New Roman" w:cs="Times New Roman"/>
          <w:sz w:val="28"/>
          <w:szCs w:val="28"/>
          <w:lang w:eastAsia="ru-RU"/>
        </w:rPr>
        <w:t>КГБ ПОУ ХАМК</w:t>
      </w:r>
      <w:r w:rsidR="00550B2C" w:rsidRPr="00550B2C">
        <w:rPr>
          <w:rFonts w:ascii="Times New Roman" w:eastAsia="Consultant" w:hAnsi="Times New Roman" w:cs="Times New Roman"/>
          <w:spacing w:val="-6"/>
          <w:sz w:val="28"/>
          <w:szCs w:val="28"/>
          <w:lang w:eastAsia="ru-RU"/>
        </w:rPr>
        <w:t>.</w:t>
      </w:r>
    </w:p>
    <w:tbl>
      <w:tblPr>
        <w:tblW w:w="9355" w:type="dxa"/>
        <w:tblInd w:w="-142" w:type="dxa"/>
        <w:tblLook w:val="04A0" w:firstRow="1" w:lastRow="0" w:firstColumn="1" w:lastColumn="0" w:noHBand="0" w:noVBand="1"/>
      </w:tblPr>
      <w:tblGrid>
        <w:gridCol w:w="4111"/>
        <w:gridCol w:w="2976"/>
        <w:gridCol w:w="2268"/>
      </w:tblGrid>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Председатель комиссии:</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А.А. Сорокин</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Секретарь комиссии:</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Г.М. Земцов</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Члены комиссии: </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Г.А. Попов </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И.М. Ивлева</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В.Ю. Козлова</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С.Г. Кондратов</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С.Ю. </w:t>
            </w:r>
            <w:proofErr w:type="spellStart"/>
            <w:r w:rsidRPr="00024219">
              <w:rPr>
                <w:rFonts w:ascii="Times New Roman" w:eastAsia="Tahoma" w:hAnsi="Times New Roman" w:cs="Times New Roman"/>
                <w:spacing w:val="-6"/>
                <w:sz w:val="28"/>
                <w:szCs w:val="28"/>
                <w:lang w:eastAsia="ru-RU"/>
              </w:rPr>
              <w:t>Майдурова</w:t>
            </w:r>
            <w:proofErr w:type="spellEnd"/>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В.С. Погорелова</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А.А. Процко</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Е.В. </w:t>
            </w:r>
            <w:proofErr w:type="spellStart"/>
            <w:r w:rsidRPr="00024219">
              <w:rPr>
                <w:rFonts w:ascii="Times New Roman" w:eastAsia="Tahoma" w:hAnsi="Times New Roman" w:cs="Times New Roman"/>
                <w:spacing w:val="-6"/>
                <w:sz w:val="28"/>
                <w:szCs w:val="28"/>
                <w:lang w:eastAsia="ru-RU"/>
              </w:rPr>
              <w:t>Матаржук</w:t>
            </w:r>
            <w:proofErr w:type="spellEnd"/>
          </w:p>
        </w:tc>
      </w:tr>
      <w:tr w:rsidR="00024219" w:rsidRPr="00024219" w:rsidTr="00F22B08">
        <w:trPr>
          <w:trHeight w:val="239"/>
        </w:trPr>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С.А. Чашкин </w:t>
            </w:r>
          </w:p>
        </w:tc>
      </w:tr>
    </w:tbl>
    <w:p w:rsidR="00426735" w:rsidRDefault="005D6176"/>
    <w:sectPr w:rsidR="0042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D3"/>
    <w:rsid w:val="00024219"/>
    <w:rsid w:val="003D247B"/>
    <w:rsid w:val="004D29E3"/>
    <w:rsid w:val="00550B2C"/>
    <w:rsid w:val="005D6176"/>
    <w:rsid w:val="007408DB"/>
    <w:rsid w:val="00770C20"/>
    <w:rsid w:val="00B10976"/>
    <w:rsid w:val="00B24E73"/>
    <w:rsid w:val="00C8048E"/>
    <w:rsid w:val="00DB45D3"/>
    <w:rsid w:val="00E009E2"/>
    <w:rsid w:val="00E17078"/>
    <w:rsid w:val="00E2413D"/>
    <w:rsid w:val="00F8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D8D9D-FF29-49C2-B965-A6FAFA2A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0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Анатольевич Чашкин</dc:creator>
  <cp:keywords/>
  <dc:description/>
  <cp:lastModifiedBy>Сергей Анатольевич Чашкин</cp:lastModifiedBy>
  <cp:revision>4</cp:revision>
  <cp:lastPrinted>2025-08-08T01:37:00Z</cp:lastPrinted>
  <dcterms:created xsi:type="dcterms:W3CDTF">2025-07-31T05:00:00Z</dcterms:created>
  <dcterms:modified xsi:type="dcterms:W3CDTF">2025-08-08T09:51:00Z</dcterms:modified>
</cp:coreProperties>
</file>